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39A36">
      <w:pPr>
        <w:pStyle w:val="7"/>
        <w:jc w:val="center"/>
        <w:outlineLvl w:val="1"/>
        <w:rPr>
          <w:rFonts w:hint="default"/>
        </w:rPr>
      </w:pPr>
      <w:r>
        <w:rPr>
          <w:b/>
          <w:sz w:val="36"/>
        </w:rPr>
        <w:t>第</w:t>
      </w:r>
      <w:r>
        <w:rPr>
          <w:rFonts w:hint="eastAsia"/>
          <w:b/>
          <w:sz w:val="36"/>
          <w:lang w:eastAsia="zh-CN"/>
        </w:rPr>
        <w:t>八</w:t>
      </w:r>
      <w:r>
        <w:rPr>
          <w:b/>
          <w:sz w:val="36"/>
        </w:rPr>
        <w:t>章 拟签订合同文本</w:t>
      </w:r>
    </w:p>
    <w:p w14:paraId="1DDF5B6A">
      <w:pPr>
        <w:jc w:val="center"/>
        <w:rPr>
          <w:rFonts w:ascii="宋体" w:hAnsi="宋体" w:cs="宋体"/>
          <w:b/>
          <w:sz w:val="36"/>
          <w:szCs w:val="36"/>
        </w:rPr>
      </w:pPr>
    </w:p>
    <w:p w14:paraId="14B6A6B3">
      <w:pPr>
        <w:pStyle w:val="4"/>
        <w:keepNext w:val="0"/>
        <w:keepLines w:val="0"/>
        <w:widowControl w:val="0"/>
        <w:suppressLineNumbers w:val="0"/>
        <w:spacing w:before="0" w:beforeAutospacing="0" w:after="0" w:afterAutospacing="0" w:line="360" w:lineRule="auto"/>
        <w:ind w:left="0" w:right="0" w:firstLine="0"/>
        <w:jc w:val="center"/>
        <w:outlineLvl w:val="1"/>
        <w:rPr>
          <w:rFonts w:hint="eastAsia" w:ascii="黑体" w:hAnsi="宋体" w:eastAsia="宋体" w:cs="Times New Roman"/>
          <w:b/>
          <w:bCs/>
          <w:color w:val="000000"/>
          <w:kern w:val="2"/>
          <w:sz w:val="24"/>
          <w:szCs w:val="24"/>
        </w:rPr>
      </w:pPr>
      <w:r>
        <w:rPr>
          <w:rFonts w:hint="eastAsia" w:ascii="宋体" w:hAnsi="宋体" w:eastAsia="宋体" w:cs="宋体"/>
          <w:b/>
          <w:bCs/>
          <w:color w:val="000000"/>
          <w:kern w:val="2"/>
          <w:sz w:val="24"/>
          <w:szCs w:val="24"/>
          <w:lang w:val="en-US" w:eastAsia="zh-CN" w:bidi="ar"/>
        </w:rPr>
        <w:t>（本合同为中小企业预留份额合同）</w:t>
      </w:r>
    </w:p>
    <w:p w14:paraId="65C6680F">
      <w:pPr>
        <w:tabs>
          <w:tab w:val="left" w:pos="720"/>
        </w:tabs>
        <w:spacing w:line="360" w:lineRule="auto"/>
        <w:jc w:val="center"/>
        <w:rPr>
          <w:rFonts w:hint="eastAsia" w:ascii="仿宋_GB2312" w:hAnsi="仿宋" w:eastAsia="仿宋_GB2312" w:cs="Times New Roman"/>
          <w:b/>
          <w:sz w:val="48"/>
          <w:szCs w:val="48"/>
        </w:rPr>
      </w:pPr>
      <w:r>
        <w:rPr>
          <w:rFonts w:hint="eastAsia" w:ascii="仿宋_GB2312" w:hAnsi="仿宋" w:eastAsia="仿宋_GB2312" w:cs="Times New Roman"/>
          <w:b/>
          <w:sz w:val="48"/>
          <w:szCs w:val="48"/>
        </w:rPr>
        <w:t>政府采购合同书</w:t>
      </w:r>
    </w:p>
    <w:p w14:paraId="0792E317">
      <w:pPr>
        <w:tabs>
          <w:tab w:val="left" w:pos="720"/>
        </w:tabs>
        <w:spacing w:line="360" w:lineRule="auto"/>
        <w:rPr>
          <w:rFonts w:hint="eastAsia" w:ascii="仿宋_GB2312" w:hAnsi="仿宋" w:eastAsia="仿宋_GB2312" w:cs="Times New Roman"/>
          <w:b/>
          <w:sz w:val="28"/>
          <w:szCs w:val="28"/>
        </w:rPr>
      </w:pPr>
    </w:p>
    <w:p w14:paraId="291EA274">
      <w:pPr>
        <w:tabs>
          <w:tab w:val="left" w:pos="720"/>
        </w:tabs>
        <w:spacing w:line="360" w:lineRule="auto"/>
        <w:rPr>
          <w:rFonts w:hint="eastAsia" w:ascii="仿宋_GB2312" w:hAnsi="仿宋" w:eastAsia="仿宋_GB2312" w:cs="Times New Roman"/>
          <w:b/>
          <w:sz w:val="28"/>
          <w:szCs w:val="28"/>
        </w:rPr>
      </w:pPr>
      <w:bookmarkStart w:id="0" w:name="_GoBack"/>
      <w:bookmarkEnd w:id="0"/>
    </w:p>
    <w:p w14:paraId="174AFF5B">
      <w:pPr>
        <w:tabs>
          <w:tab w:val="left" w:pos="720"/>
        </w:tabs>
        <w:spacing w:line="360" w:lineRule="auto"/>
        <w:rPr>
          <w:rFonts w:hint="eastAsia" w:ascii="仿宋_GB2312" w:hAnsi="仿宋" w:eastAsia="仿宋_GB2312" w:cs="Times New Roman"/>
          <w:b/>
          <w:sz w:val="28"/>
          <w:szCs w:val="28"/>
        </w:rPr>
      </w:pPr>
    </w:p>
    <w:p w14:paraId="3332F6EA">
      <w:pPr>
        <w:tabs>
          <w:tab w:val="left" w:pos="720"/>
        </w:tabs>
        <w:spacing w:line="360" w:lineRule="auto"/>
        <w:rPr>
          <w:rFonts w:hint="eastAsia" w:ascii="仿宋_GB2312" w:hAnsi="仿宋" w:eastAsia="仿宋_GB2312" w:cs="Times New Roman"/>
          <w:b/>
          <w:sz w:val="28"/>
          <w:szCs w:val="28"/>
        </w:rPr>
      </w:pPr>
    </w:p>
    <w:p w14:paraId="453732F8">
      <w:pPr>
        <w:ind w:firstLine="420"/>
        <w:rPr>
          <w:rFonts w:ascii="宋体" w:hAnsi="Courier New" w:eastAsia="宋体" w:cs="Times New Roman"/>
          <w:szCs w:val="20"/>
        </w:rPr>
      </w:pPr>
    </w:p>
    <w:p w14:paraId="71AB2444">
      <w:pPr>
        <w:ind w:firstLine="420"/>
        <w:rPr>
          <w:rFonts w:ascii="宋体" w:hAnsi="Courier New" w:eastAsia="宋体" w:cs="Times New Roman"/>
          <w:szCs w:val="20"/>
        </w:rPr>
      </w:pPr>
    </w:p>
    <w:p w14:paraId="4D9B2C2E">
      <w:pPr>
        <w:ind w:firstLine="420"/>
        <w:rPr>
          <w:rFonts w:ascii="宋体" w:hAnsi="Courier New" w:eastAsia="宋体" w:cs="Times New Roman"/>
          <w:szCs w:val="20"/>
        </w:rPr>
      </w:pPr>
    </w:p>
    <w:p w14:paraId="54FAB4B4">
      <w:pPr>
        <w:ind w:firstLine="420"/>
        <w:rPr>
          <w:rFonts w:ascii="宋体" w:hAnsi="Courier New" w:eastAsia="宋体" w:cs="Times New Roman"/>
          <w:szCs w:val="20"/>
        </w:rPr>
      </w:pPr>
    </w:p>
    <w:p w14:paraId="30F34EFC">
      <w:pPr>
        <w:ind w:firstLine="420"/>
        <w:rPr>
          <w:rFonts w:ascii="宋体" w:hAnsi="Courier New" w:eastAsia="宋体" w:cs="Times New Roman"/>
          <w:szCs w:val="20"/>
        </w:rPr>
      </w:pPr>
    </w:p>
    <w:p w14:paraId="0129DB1D">
      <w:pPr>
        <w:tabs>
          <w:tab w:val="left" w:pos="720"/>
        </w:tabs>
        <w:spacing w:line="360" w:lineRule="auto"/>
        <w:rPr>
          <w:rFonts w:hint="eastAsia" w:ascii="仿宋_GB2312" w:hAnsi="仿宋" w:eastAsia="仿宋_GB2312" w:cs="Times New Roman"/>
          <w:b/>
          <w:sz w:val="28"/>
          <w:szCs w:val="28"/>
        </w:rPr>
      </w:pPr>
      <w:r>
        <w:rPr>
          <w:rFonts w:hint="eastAsia" w:ascii="仿宋_GB2312" w:hAnsi="仿宋" w:eastAsia="仿宋_GB2312" w:cs="Times New Roman"/>
          <w:b/>
          <w:sz w:val="28"/>
          <w:szCs w:val="28"/>
        </w:rPr>
        <w:t xml:space="preserve">采购编号： </w:t>
      </w:r>
    </w:p>
    <w:p w14:paraId="3DC7988A">
      <w:pPr>
        <w:tabs>
          <w:tab w:val="left" w:pos="720"/>
        </w:tabs>
        <w:spacing w:line="360" w:lineRule="auto"/>
        <w:rPr>
          <w:rFonts w:hint="eastAsia" w:ascii="仿宋_GB2312" w:hAnsi="仿宋" w:eastAsia="仿宋_GB2312" w:cs="Times New Roman"/>
          <w:b/>
          <w:sz w:val="28"/>
          <w:szCs w:val="28"/>
        </w:rPr>
      </w:pPr>
      <w:r>
        <w:rPr>
          <w:rFonts w:hint="eastAsia" w:ascii="仿宋_GB2312" w:hAnsi="仿宋" w:eastAsia="仿宋_GB2312" w:cs="Times New Roman"/>
          <w:b/>
          <w:sz w:val="28"/>
          <w:szCs w:val="28"/>
        </w:rPr>
        <w:t xml:space="preserve">项目名称：   </w:t>
      </w:r>
    </w:p>
    <w:p w14:paraId="2D33B808">
      <w:pPr>
        <w:spacing w:line="360" w:lineRule="auto"/>
        <w:rPr>
          <w:rFonts w:hint="eastAsia" w:ascii="仿宋_GB2312" w:hAnsi="仿宋" w:eastAsia="仿宋_GB2312" w:cs="Times New Roman"/>
          <w:sz w:val="28"/>
          <w:szCs w:val="28"/>
        </w:rPr>
      </w:pPr>
    </w:p>
    <w:p w14:paraId="3427DE4D">
      <w:pPr>
        <w:rPr>
          <w:rFonts w:hint="eastAsia" w:ascii="仿宋_GB2312" w:hAnsi="仿宋" w:eastAsia="仿宋_GB2312" w:cs="Times New Roman"/>
          <w:b/>
          <w:sz w:val="28"/>
          <w:szCs w:val="28"/>
        </w:rPr>
      </w:pPr>
      <w:r>
        <w:rPr>
          <w:rFonts w:hint="eastAsia" w:ascii="仿宋_GB2312" w:hAnsi="仿宋" w:eastAsia="仿宋_GB2312" w:cs="Times New Roman"/>
          <w:b/>
          <w:sz w:val="24"/>
          <w:szCs w:val="24"/>
        </w:rPr>
        <w:t>注：本合同仅为合同的参考文本，合同签订双方可根据项目的具体要求进行修订，但不得偏离实质性条款。</w:t>
      </w:r>
    </w:p>
    <w:p w14:paraId="7888102D">
      <w:pPr>
        <w:spacing w:line="360" w:lineRule="auto"/>
        <w:jc w:val="center"/>
        <w:rPr>
          <w:rFonts w:hint="eastAsia" w:ascii="宋体" w:hAnsi="宋体" w:eastAsia="宋体" w:cs="Times New Roman"/>
          <w:b/>
          <w:sz w:val="24"/>
          <w:szCs w:val="24"/>
        </w:rPr>
      </w:pPr>
    </w:p>
    <w:p w14:paraId="16E1973F">
      <w:pPr>
        <w:spacing w:line="360" w:lineRule="auto"/>
        <w:jc w:val="center"/>
        <w:rPr>
          <w:rFonts w:hint="eastAsia" w:ascii="宋体" w:hAnsi="宋体" w:eastAsia="宋体" w:cs="Times New Roman"/>
          <w:b/>
          <w:sz w:val="24"/>
          <w:szCs w:val="24"/>
        </w:rPr>
      </w:pPr>
    </w:p>
    <w:p w14:paraId="6773F9F7">
      <w:pPr>
        <w:spacing w:line="360" w:lineRule="auto"/>
        <w:jc w:val="center"/>
        <w:rPr>
          <w:rFonts w:hint="eastAsia" w:ascii="宋体" w:hAnsi="宋体" w:eastAsia="宋体" w:cs="Times New Roman"/>
          <w:b/>
          <w:sz w:val="24"/>
          <w:szCs w:val="24"/>
        </w:rPr>
      </w:pPr>
      <w:r>
        <w:rPr>
          <w:rFonts w:ascii="宋体" w:hAnsi="宋体" w:eastAsia="宋体" w:cs="Times New Roman"/>
          <w:b/>
          <w:sz w:val="24"/>
          <w:szCs w:val="24"/>
        </w:rPr>
        <w:br w:type="page"/>
      </w:r>
      <w:r>
        <w:rPr>
          <w:rFonts w:hint="eastAsia" w:ascii="宋体" w:hAnsi="宋体" w:eastAsia="宋体" w:cs="Times New Roman"/>
          <w:sz w:val="24"/>
          <w:szCs w:val="24"/>
        </w:rPr>
        <w:t>服务合同</w:t>
      </w:r>
    </w:p>
    <w:p w14:paraId="67496DC4">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ascii="宋体" w:hAnsi="宋体" w:eastAsia="宋体" w:cs="Times New Roman"/>
          <w:sz w:val="24"/>
          <w:szCs w:val="24"/>
        </w:rPr>
        <w:t xml:space="preserve">    </w:t>
      </w:r>
      <w:r>
        <w:rPr>
          <w:rFonts w:hint="eastAsia" w:ascii="宋体" w:hAnsi="宋体" w:eastAsia="宋体" w:cs="Times New Roman"/>
          <w:sz w:val="24"/>
          <w:szCs w:val="24"/>
        </w:rPr>
        <w:t>合同编号:</w:t>
      </w:r>
    </w:p>
    <w:p w14:paraId="0704EDC5">
      <w:pPr>
        <w:spacing w:line="276" w:lineRule="auto"/>
        <w:rPr>
          <w:rFonts w:hint="eastAsia" w:ascii="宋体" w:hAnsi="宋体" w:eastAsia="宋体" w:cs="宋体"/>
          <w:b/>
          <w:kern w:val="0"/>
          <w:sz w:val="24"/>
          <w:szCs w:val="24"/>
        </w:rPr>
      </w:pPr>
      <w:r>
        <w:rPr>
          <w:rFonts w:hint="eastAsia" w:ascii="宋体" w:hAnsi="宋体" w:eastAsia="宋体" w:cs="Times New Roman"/>
          <w:b/>
          <w:sz w:val="24"/>
          <w:szCs w:val="24"/>
        </w:rPr>
        <w:t xml:space="preserve">甲  方： </w:t>
      </w:r>
      <w:r>
        <w:rPr>
          <w:rFonts w:hint="eastAsia" w:ascii="宋体" w:hAnsi="宋体" w:eastAsia="宋体" w:cs="宋体"/>
          <w:b/>
          <w:kern w:val="0"/>
          <w:sz w:val="24"/>
          <w:szCs w:val="24"/>
        </w:rPr>
        <w:t>西安市精神卫生中心</w:t>
      </w:r>
    </w:p>
    <w:p w14:paraId="632251D1">
      <w:pPr>
        <w:widowControl/>
        <w:spacing w:before="100" w:beforeAutospacing="1" w:after="100" w:afterAutospacing="1" w:line="276" w:lineRule="auto"/>
        <w:jc w:val="left"/>
        <w:rPr>
          <w:rFonts w:hint="eastAsia" w:ascii="宋体" w:hAnsi="宋体" w:eastAsia="宋体" w:cs="宋体"/>
          <w:kern w:val="0"/>
          <w:sz w:val="24"/>
          <w:szCs w:val="24"/>
        </w:rPr>
      </w:pPr>
      <w:r>
        <w:rPr>
          <w:rFonts w:hint="eastAsia" w:ascii="宋体" w:hAnsi="宋体" w:eastAsia="宋体" w:cs="Times New Roman"/>
          <w:b/>
          <w:sz w:val="24"/>
          <w:szCs w:val="24"/>
        </w:rPr>
        <w:t xml:space="preserve">乙  方： </w:t>
      </w:r>
      <w:r>
        <w:rPr>
          <w:rFonts w:ascii="宋体" w:hAnsi="宋体" w:eastAsia="宋体" w:cs="Times New Roman"/>
          <w:b/>
          <w:sz w:val="24"/>
          <w:szCs w:val="24"/>
        </w:rPr>
        <w:t>xxxxxxxxxx</w:t>
      </w:r>
    </w:p>
    <w:p w14:paraId="36A9A20F">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依据《中华人民共和国</w:t>
      </w:r>
      <w:r>
        <w:fldChar w:fldCharType="begin"/>
      </w:r>
      <w:r>
        <w:instrText xml:space="preserve"> HYPERLINK "https://www.66law.cn/tiaoli/4.aspx" \t "_blank" \o "合同法" </w:instrText>
      </w:r>
      <w:r>
        <w:fldChar w:fldCharType="separate"/>
      </w:r>
      <w:r>
        <w:rPr>
          <w:rFonts w:hint="eastAsia" w:ascii="宋体" w:hAnsi="宋体" w:eastAsia="宋体" w:cs="Times New Roman"/>
          <w:sz w:val="24"/>
          <w:szCs w:val="24"/>
        </w:rPr>
        <w:t>民法典</w:t>
      </w:r>
      <w:r>
        <w:rPr>
          <w:rFonts w:hint="eastAsia" w:ascii="宋体" w:hAnsi="宋体" w:eastAsia="宋体" w:cs="Times New Roman"/>
          <w:sz w:val="24"/>
          <w:szCs w:val="24"/>
        </w:rPr>
        <w:fldChar w:fldCharType="end"/>
      </w:r>
      <w:r>
        <w:rPr>
          <w:rFonts w:hint="eastAsia" w:ascii="宋体" w:hAnsi="宋体" w:eastAsia="宋体" w:cs="Times New Roman"/>
          <w:sz w:val="24"/>
          <w:szCs w:val="24"/>
        </w:rPr>
        <w:t>》及相关</w:t>
      </w:r>
      <w:r>
        <w:fldChar w:fldCharType="begin"/>
      </w:r>
      <w:r>
        <w:instrText xml:space="preserve"> HYPERLINK "https://www.66law.cn/tiaoli/" \t "_blank" \o "法律法规" </w:instrText>
      </w:r>
      <w:r>
        <w:fldChar w:fldCharType="separate"/>
      </w:r>
      <w:r>
        <w:rPr>
          <w:rFonts w:hint="eastAsia" w:ascii="宋体" w:hAnsi="宋体" w:eastAsia="宋体" w:cs="Times New Roman"/>
          <w:sz w:val="24"/>
          <w:szCs w:val="24"/>
        </w:rPr>
        <w:t>法律法规</w:t>
      </w:r>
      <w:r>
        <w:rPr>
          <w:rFonts w:hint="eastAsia" w:ascii="宋体" w:hAnsi="宋体" w:eastAsia="宋体" w:cs="Times New Roman"/>
          <w:sz w:val="24"/>
          <w:szCs w:val="24"/>
        </w:rPr>
        <w:fldChar w:fldCharType="end"/>
      </w:r>
      <w:r>
        <w:rPr>
          <w:rFonts w:hint="eastAsia" w:ascii="宋体" w:hAnsi="宋体" w:eastAsia="宋体" w:cs="Times New Roman"/>
          <w:sz w:val="24"/>
          <w:szCs w:val="24"/>
        </w:rPr>
        <w:t>之规定，甲乙双方在平等、自愿的基础上，经双方协商一致，达成如下协议，以资共同遵照执行,具体条款如下：</w:t>
      </w:r>
    </w:p>
    <w:p w14:paraId="24BAD8D7">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一、招标项目及招投标结果描述：</w:t>
      </w:r>
    </w:p>
    <w:p w14:paraId="5D84CD1C">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本合同招投标项目：西安市精神卫生中心2025-2026信息数据中心软硬件维保项目。招标采购编号为</w:t>
      </w:r>
      <w:r>
        <w:rPr>
          <w:rFonts w:hint="eastAsia" w:ascii="宋体" w:hAnsi="宋体" w:eastAsia="宋体" w:cs="Times New Roman"/>
          <w:sz w:val="24"/>
          <w:szCs w:val="24"/>
          <w:lang w:eastAsia="zh-CN"/>
        </w:rPr>
        <w:t>XAJG（ZFCG）-202</w:t>
      </w:r>
      <w:r>
        <w:rPr>
          <w:rFonts w:hint="eastAsia" w:ascii="宋体" w:hAnsi="宋体" w:eastAsia="宋体" w:cs="Times New Roman"/>
          <w:sz w:val="24"/>
          <w:szCs w:val="24"/>
          <w:lang w:val="en-US" w:eastAsia="zh-CN"/>
        </w:rPr>
        <w:t>50911</w:t>
      </w:r>
      <w:r>
        <w:rPr>
          <w:rFonts w:hint="eastAsia" w:ascii="宋体" w:hAnsi="宋体" w:eastAsia="宋体" w:cs="Times New Roman"/>
          <w:sz w:val="24"/>
          <w:szCs w:val="24"/>
        </w:rPr>
        <w:t>。依法进行招投标程序后，中标供应商为本合同乙方。依据招投标结果，双方签订本合同。</w:t>
      </w:r>
    </w:p>
    <w:p w14:paraId="19593093">
      <w:pPr>
        <w:spacing w:line="360" w:lineRule="auto"/>
        <w:rPr>
          <w:rFonts w:hint="eastAsia" w:ascii="宋体" w:hAnsi="宋体" w:eastAsia="宋体" w:cs="Times New Roman"/>
          <w:b/>
          <w:sz w:val="24"/>
          <w:szCs w:val="24"/>
          <w:lang w:eastAsia="zh-CN"/>
        </w:rPr>
      </w:pPr>
      <w:r>
        <w:rPr>
          <w:rFonts w:hint="eastAsia" w:ascii="宋体" w:hAnsi="宋体" w:eastAsia="宋体" w:cs="Times New Roman"/>
          <w:b/>
          <w:sz w:val="24"/>
          <w:szCs w:val="24"/>
        </w:rPr>
        <w:t>二、</w:t>
      </w:r>
      <w:r>
        <w:rPr>
          <w:rFonts w:hint="eastAsia" w:ascii="宋体" w:hAnsi="宋体" w:eastAsia="宋体" w:cs="Times New Roman"/>
          <w:b/>
          <w:sz w:val="24"/>
          <w:szCs w:val="24"/>
          <w:lang w:val="en-US" w:eastAsia="zh-CN"/>
        </w:rPr>
        <w:t>合同服务范围</w:t>
      </w:r>
    </w:p>
    <w:p w14:paraId="0DA93479">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乙方为甲方按招标文件要求以及乙方投标文件提供的全部内容进行服务。</w:t>
      </w:r>
    </w:p>
    <w:p w14:paraId="2F4EBADC">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三、</w:t>
      </w:r>
      <w:r>
        <w:rPr>
          <w:rFonts w:hint="eastAsia" w:ascii="宋体" w:hAnsi="宋体" w:eastAsia="宋体" w:cs="Times New Roman"/>
          <w:b/>
          <w:sz w:val="24"/>
          <w:szCs w:val="24"/>
          <w:lang w:val="en-US" w:eastAsia="zh-CN"/>
        </w:rPr>
        <w:t>合同</w:t>
      </w:r>
      <w:r>
        <w:rPr>
          <w:rFonts w:hint="eastAsia" w:ascii="宋体" w:hAnsi="宋体" w:eastAsia="宋体" w:cs="Times New Roman"/>
          <w:b/>
          <w:sz w:val="24"/>
          <w:szCs w:val="24"/>
        </w:rPr>
        <w:t>服务期限：</w:t>
      </w:r>
    </w:p>
    <w:p w14:paraId="7A634689">
      <w:pPr>
        <w:widowControl/>
        <w:spacing w:line="360" w:lineRule="auto"/>
        <w:ind w:firstLine="480" w:firstLineChars="200"/>
        <w:jc w:val="left"/>
        <w:rPr>
          <w:rFonts w:ascii="Calibri" w:hAnsi="Calibri" w:eastAsia="宋体" w:cs="Times New Roman"/>
          <w:kern w:val="0"/>
          <w:sz w:val="24"/>
          <w:szCs w:val="24"/>
          <w:lang w:eastAsia="zh-Hans"/>
        </w:rPr>
      </w:pPr>
      <w:r>
        <w:rPr>
          <w:rFonts w:ascii="Calibri" w:hAnsi="Calibri" w:eastAsia="宋体" w:cs="Times New Roman"/>
          <w:kern w:val="0"/>
          <w:sz w:val="24"/>
          <w:szCs w:val="24"/>
          <w:lang w:eastAsia="zh-Hans"/>
        </w:rPr>
        <w:t>签订合同后，服务期一年。</w:t>
      </w:r>
    </w:p>
    <w:p w14:paraId="4D95F3F3">
      <w:pPr>
        <w:widowControl/>
        <w:numPr>
          <w:ilvl w:val="0"/>
          <w:numId w:val="1"/>
        </w:numPr>
        <w:spacing w:line="360" w:lineRule="auto"/>
        <w:jc w:val="left"/>
        <w:rPr>
          <w:rFonts w:ascii="宋体" w:hAnsi="宋体" w:eastAsia="宋体" w:cs="Times New Roman"/>
          <w:b/>
          <w:kern w:val="0"/>
          <w:sz w:val="24"/>
          <w:szCs w:val="20"/>
          <w:lang w:eastAsia="zh-Hans"/>
        </w:rPr>
      </w:pPr>
      <w:r>
        <w:rPr>
          <w:rFonts w:hint="eastAsia" w:ascii="宋体" w:hAnsi="宋体" w:eastAsia="宋体" w:cs="Times New Roman"/>
          <w:b/>
          <w:kern w:val="0"/>
          <w:sz w:val="24"/>
          <w:szCs w:val="20"/>
          <w:lang w:val="en-US" w:eastAsia="zh-CN"/>
        </w:rPr>
        <w:t>合同金额及</w:t>
      </w:r>
      <w:r>
        <w:rPr>
          <w:rFonts w:ascii="宋体" w:hAnsi="宋体" w:eastAsia="宋体" w:cs="Times New Roman"/>
          <w:b/>
          <w:kern w:val="0"/>
          <w:sz w:val="24"/>
          <w:szCs w:val="20"/>
          <w:lang w:eastAsia="zh-Hans"/>
        </w:rPr>
        <w:t>付款方式：</w:t>
      </w:r>
    </w:p>
    <w:p w14:paraId="0CBC86A0">
      <w:pPr>
        <w:widowControl/>
        <w:spacing w:line="360" w:lineRule="auto"/>
        <w:ind w:firstLine="480" w:firstLineChars="200"/>
        <w:jc w:val="left"/>
        <w:rPr>
          <w:rFonts w:ascii="Calibri" w:hAnsi="Calibri" w:eastAsia="宋体" w:cs="Times New Roman"/>
          <w:kern w:val="0"/>
          <w:sz w:val="24"/>
          <w:szCs w:val="24"/>
        </w:rPr>
      </w:pPr>
      <w:r>
        <w:rPr>
          <w:rFonts w:hint="eastAsia" w:ascii="Calibri" w:hAnsi="Calibri" w:eastAsia="宋体" w:cs="Times New Roman"/>
          <w:kern w:val="0"/>
          <w:sz w:val="24"/>
          <w:szCs w:val="24"/>
        </w:rPr>
        <w:t>合同总金额：￥</w:t>
      </w:r>
      <w:r>
        <w:rPr>
          <w:rFonts w:hint="eastAsia" w:ascii="Calibri" w:hAnsi="Calibri" w:eastAsia="宋体" w:cs="Times New Roman"/>
          <w:kern w:val="0"/>
          <w:sz w:val="24"/>
          <w:szCs w:val="24"/>
          <w:u w:val="single"/>
        </w:rPr>
        <w:t xml:space="preserve">         （大写金额）</w:t>
      </w:r>
      <w:r>
        <w:rPr>
          <w:rFonts w:hint="eastAsia" w:ascii="Calibri" w:hAnsi="Calibri" w:eastAsia="宋体" w:cs="Times New Roman"/>
          <w:kern w:val="0"/>
          <w:sz w:val="24"/>
          <w:szCs w:val="24"/>
        </w:rPr>
        <w:t>，总金额包括软硬件维保、技术服务、安装调试费、部分免费配件、培训费、税金等一切费用，总价一次性包死，不随市场变化因素调整。</w:t>
      </w:r>
    </w:p>
    <w:p w14:paraId="2B9F49F9">
      <w:pPr>
        <w:widowControl/>
        <w:spacing w:line="360" w:lineRule="auto"/>
        <w:ind w:firstLine="480" w:firstLineChars="200"/>
        <w:jc w:val="left"/>
        <w:rPr>
          <w:rFonts w:hint="eastAsia" w:ascii="Calibri" w:hAnsi="Calibri" w:eastAsia="宋体" w:cs="Times New Roman"/>
          <w:kern w:val="0"/>
          <w:sz w:val="24"/>
          <w:szCs w:val="24"/>
          <w:u w:val="single"/>
        </w:rPr>
      </w:pPr>
      <w:r>
        <w:rPr>
          <w:rFonts w:hint="eastAsia" w:ascii="Calibri" w:hAnsi="Calibri" w:eastAsia="宋体" w:cs="Times New Roman"/>
          <w:kern w:val="0"/>
          <w:sz w:val="24"/>
          <w:szCs w:val="24"/>
          <w:u w:val="single"/>
        </w:rPr>
        <w:t>签订合同后，初步验收合格后，凭发票和初步验收合格单，支付首笔进度款，达到付款条件起30日内，支付合同总金额的90.00%。</w:t>
      </w:r>
    </w:p>
    <w:p w14:paraId="30EFDB89">
      <w:pPr>
        <w:widowControl/>
        <w:spacing w:line="360" w:lineRule="auto"/>
        <w:ind w:firstLine="480" w:firstLineChars="200"/>
        <w:jc w:val="left"/>
        <w:rPr>
          <w:rFonts w:hint="eastAsia" w:ascii="Calibri" w:hAnsi="Calibri" w:eastAsia="宋体" w:cs="Times New Roman"/>
          <w:kern w:val="0"/>
          <w:sz w:val="24"/>
          <w:szCs w:val="24"/>
          <w:u w:val="single"/>
        </w:rPr>
      </w:pPr>
      <w:r>
        <w:rPr>
          <w:rFonts w:hint="eastAsia" w:ascii="Calibri" w:hAnsi="Calibri" w:eastAsia="宋体" w:cs="Times New Roman"/>
          <w:kern w:val="0"/>
          <w:sz w:val="24"/>
          <w:szCs w:val="24"/>
          <w:u w:val="single"/>
        </w:rPr>
        <w:t>服务到期验收合格后，凭验收合格单，达到付款条件起30日内，支付合同总金额的10.00%。</w:t>
      </w:r>
    </w:p>
    <w:p w14:paraId="11741BFE">
      <w:pPr>
        <w:widowControl/>
        <w:spacing w:line="360" w:lineRule="auto"/>
        <w:ind w:firstLine="480" w:firstLineChars="200"/>
        <w:jc w:val="left"/>
        <w:rPr>
          <w:rFonts w:ascii="Calibri" w:hAnsi="Calibri" w:eastAsia="宋体" w:cs="Times New Roman"/>
          <w:kern w:val="0"/>
          <w:sz w:val="24"/>
          <w:szCs w:val="24"/>
          <w:u w:val="single"/>
        </w:rPr>
      </w:pPr>
      <w:r>
        <w:rPr>
          <w:rFonts w:hint="eastAsia" w:ascii="Calibri" w:hAnsi="Calibri" w:eastAsia="宋体" w:cs="Times New Roman"/>
          <w:kern w:val="0"/>
          <w:sz w:val="24"/>
          <w:szCs w:val="24"/>
          <w:u w:val="single"/>
        </w:rPr>
        <w:t>付款方式：银行转账将款项转入乙方银行账户。乙方银行账户信息如下：</w:t>
      </w:r>
    </w:p>
    <w:p w14:paraId="2E629706">
      <w:pPr>
        <w:widowControl/>
        <w:spacing w:line="360" w:lineRule="auto"/>
        <w:ind w:firstLine="480" w:firstLineChars="200"/>
        <w:jc w:val="left"/>
        <w:rPr>
          <w:rFonts w:ascii="Calibri" w:hAnsi="Calibri" w:eastAsia="宋体" w:cs="Times New Roman"/>
          <w:kern w:val="0"/>
          <w:sz w:val="24"/>
          <w:szCs w:val="24"/>
          <w:u w:val="single"/>
        </w:rPr>
      </w:pPr>
      <w:r>
        <w:rPr>
          <w:rFonts w:hint="eastAsia" w:ascii="Calibri" w:hAnsi="Calibri" w:eastAsia="宋体" w:cs="Times New Roman"/>
          <w:kern w:val="0"/>
          <w:sz w:val="24"/>
          <w:szCs w:val="24"/>
          <w:u w:val="single"/>
        </w:rPr>
        <w:t>账户全称：</w:t>
      </w:r>
    </w:p>
    <w:p w14:paraId="17487A0E">
      <w:pPr>
        <w:widowControl/>
        <w:spacing w:line="360" w:lineRule="auto"/>
        <w:ind w:firstLine="480" w:firstLineChars="200"/>
        <w:jc w:val="left"/>
        <w:rPr>
          <w:rFonts w:ascii="Calibri" w:hAnsi="Calibri" w:eastAsia="宋体" w:cs="Times New Roman"/>
          <w:kern w:val="0"/>
          <w:sz w:val="24"/>
          <w:szCs w:val="24"/>
          <w:u w:val="single"/>
        </w:rPr>
      </w:pPr>
      <w:r>
        <w:rPr>
          <w:rFonts w:hint="eastAsia" w:ascii="Calibri" w:hAnsi="Calibri" w:eastAsia="宋体" w:cs="Times New Roman"/>
          <w:kern w:val="0"/>
          <w:sz w:val="24"/>
          <w:szCs w:val="24"/>
          <w:u w:val="single"/>
        </w:rPr>
        <w:t>账    号：</w:t>
      </w:r>
    </w:p>
    <w:p w14:paraId="527F1964">
      <w:pPr>
        <w:widowControl/>
        <w:spacing w:line="360" w:lineRule="auto"/>
        <w:ind w:firstLine="480" w:firstLineChars="200"/>
        <w:jc w:val="left"/>
        <w:rPr>
          <w:rFonts w:ascii="Calibri" w:hAnsi="Calibri" w:eastAsia="宋体" w:cs="Times New Roman"/>
          <w:kern w:val="0"/>
          <w:sz w:val="24"/>
          <w:szCs w:val="24"/>
          <w:u w:val="single"/>
        </w:rPr>
      </w:pPr>
      <w:r>
        <w:rPr>
          <w:rFonts w:hint="eastAsia" w:ascii="Calibri" w:hAnsi="Calibri" w:eastAsia="宋体" w:cs="Times New Roman"/>
          <w:kern w:val="0"/>
          <w:sz w:val="24"/>
          <w:szCs w:val="24"/>
          <w:u w:val="single"/>
        </w:rPr>
        <w:t>开 户 行：</w:t>
      </w:r>
    </w:p>
    <w:p w14:paraId="70FDF4E8">
      <w:pPr>
        <w:widowControl/>
        <w:spacing w:line="360" w:lineRule="auto"/>
        <w:ind w:firstLine="480" w:firstLineChars="200"/>
        <w:jc w:val="left"/>
        <w:rPr>
          <w:rFonts w:ascii="Calibri" w:hAnsi="Calibri" w:eastAsia="宋体" w:cs="Times New Roman"/>
          <w:kern w:val="0"/>
          <w:sz w:val="24"/>
          <w:szCs w:val="24"/>
          <w:u w:val="single"/>
        </w:rPr>
      </w:pPr>
      <w:r>
        <w:rPr>
          <w:rFonts w:hint="eastAsia" w:ascii="Calibri" w:hAnsi="Calibri" w:eastAsia="宋体" w:cs="Times New Roman"/>
          <w:kern w:val="0"/>
          <w:sz w:val="24"/>
          <w:szCs w:val="24"/>
          <w:u w:val="single"/>
        </w:rPr>
        <w:t>甲方仅认可上述指定账户向该账户付款。甲方有权拒绝向指定账户之外的任何账户付款，并且由此导致的付款延迟责任由乙方承担。</w:t>
      </w:r>
    </w:p>
    <w:p w14:paraId="59A9517B">
      <w:pPr>
        <w:spacing w:line="360" w:lineRule="auto"/>
        <w:rPr>
          <w:rFonts w:hint="eastAsia" w:ascii="宋体" w:hAnsi="宋体" w:eastAsia="宋体" w:cs="Times New Roman"/>
          <w:b/>
          <w:sz w:val="24"/>
        </w:rPr>
      </w:pPr>
      <w:r>
        <w:rPr>
          <w:rFonts w:hint="eastAsia" w:ascii="宋体" w:hAnsi="宋体" w:eastAsia="宋体" w:cs="Times New Roman"/>
          <w:b/>
          <w:sz w:val="24"/>
        </w:rPr>
        <w:t>五、双方权利义务</w:t>
      </w:r>
    </w:p>
    <w:p w14:paraId="4FA7B66C">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（一）甲方权利义务</w:t>
      </w:r>
    </w:p>
    <w:p w14:paraId="700E25CC">
      <w:pPr>
        <w:spacing w:line="360" w:lineRule="auto"/>
        <w:ind w:firstLine="555"/>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1、甲方应按本合同约定的付款时间支付款项。</w:t>
      </w:r>
    </w:p>
    <w:p w14:paraId="69CCF7C5">
      <w:pPr>
        <w:spacing w:line="360" w:lineRule="auto"/>
        <w:ind w:firstLine="555"/>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2、甲方对乙方的服务进行考核，如果由于乙方的原因未能达到考核标准，原合同期限将相应延长</w:t>
      </w:r>
      <w:r>
        <w:rPr>
          <w:rFonts w:hint="eastAsia" w:ascii="宋体" w:hAnsi="宋体" w:eastAsia="宋体" w:cs="Times New Roman"/>
          <w:sz w:val="24"/>
          <w:szCs w:val="24"/>
          <w:highlight w:val="none"/>
          <w:u w:val="single"/>
        </w:rPr>
        <w:t xml:space="preserve">       个日历日</w:t>
      </w:r>
      <w:r>
        <w:rPr>
          <w:rFonts w:hint="eastAsia" w:ascii="宋体" w:hAnsi="宋体" w:eastAsia="宋体" w:cs="Times New Roman"/>
          <w:sz w:val="24"/>
          <w:szCs w:val="24"/>
          <w:highlight w:val="none"/>
          <w:u w:val="single"/>
          <w:lang w:eastAsia="zh-CN"/>
        </w:rPr>
        <w:t>，</w:t>
      </w:r>
      <w:r>
        <w:rPr>
          <w:rFonts w:hint="eastAsia" w:ascii="宋体" w:hAnsi="宋体" w:eastAsia="宋体" w:cs="Times New Roman"/>
          <w:sz w:val="24"/>
          <w:szCs w:val="24"/>
          <w:highlight w:val="none"/>
          <w:u w:val="single"/>
          <w:lang w:val="en-US" w:eastAsia="zh-CN"/>
        </w:rPr>
        <w:t>乙方应在延长期限内完成服务达到考核标准，否则甲方有权终止乙方服务，且有权扣除质量不达标期间及未服务期间所对应的合同费用</w:t>
      </w:r>
      <w:r>
        <w:rPr>
          <w:rFonts w:hint="eastAsia" w:ascii="宋体" w:hAnsi="宋体" w:eastAsia="宋体" w:cs="Times New Roman"/>
          <w:sz w:val="24"/>
          <w:szCs w:val="24"/>
          <w:highlight w:val="none"/>
        </w:rPr>
        <w:t>。</w:t>
      </w:r>
    </w:p>
    <w:p w14:paraId="774A39B9">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3、负责甲方项目组人员的沟通、协调；</w:t>
      </w:r>
    </w:p>
    <w:p w14:paraId="75956364">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4、负责指派专人根据乙方项目组的建议完成重要数据备份工作；</w:t>
      </w:r>
    </w:p>
    <w:p w14:paraId="7F12F6D3">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5</w:t>
      </w:r>
      <w:r>
        <w:rPr>
          <w:rFonts w:hint="eastAsia" w:ascii="宋体" w:hAnsi="宋体" w:eastAsia="宋体" w:cs="Times New Roman"/>
          <w:sz w:val="24"/>
          <w:szCs w:val="24"/>
        </w:rPr>
        <w:t>、负责与乙方项目负责人沟通协调、信息传递，为乙方开展服务工作提供便利条件，包括：</w:t>
      </w:r>
    </w:p>
    <w:p w14:paraId="1593F477">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（1）为乙方项目组提供现场服务的工位；</w:t>
      </w:r>
    </w:p>
    <w:p w14:paraId="68163DCA">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（2）提供合适的会议室或相对独立的办公环境用于双方沟通；</w:t>
      </w:r>
    </w:p>
    <w:p w14:paraId="384D4FF1">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（3）指派安全管理员、系统运维员、文档管理员等配合现场测评工作；</w:t>
      </w:r>
    </w:p>
    <w:p w14:paraId="09009710">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（4）其他事宜甲乙双方在合同签订时约定。</w:t>
      </w:r>
    </w:p>
    <w:p w14:paraId="76AFF15D">
      <w:pPr>
        <w:spacing w:line="360" w:lineRule="auto"/>
        <w:ind w:firstLine="482" w:firstLineChars="200"/>
        <w:rPr>
          <w:rFonts w:hint="eastAsia" w:ascii="宋体" w:hAnsi="宋体" w:eastAsia="宋体" w:cs="Times New Roman"/>
          <w:b/>
          <w:sz w:val="24"/>
          <w:szCs w:val="24"/>
        </w:rPr>
      </w:pPr>
      <w:r>
        <w:rPr>
          <w:rFonts w:hint="eastAsia" w:ascii="宋体" w:hAnsi="宋体" w:eastAsia="宋体" w:cs="Times New Roman"/>
          <w:b/>
          <w:sz w:val="24"/>
          <w:szCs w:val="24"/>
        </w:rPr>
        <w:t>（二）乙方权利义务</w:t>
      </w:r>
    </w:p>
    <w:p w14:paraId="56CB7199">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、负责指派专人配合甲方完成等级保护定级、备案工作；</w:t>
      </w:r>
    </w:p>
    <w:p w14:paraId="55D1DB50">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、负责与甲方项目负责人沟通协调、信息传递，及时确认工作安排；</w:t>
      </w:r>
    </w:p>
    <w:p w14:paraId="6ED77901">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、负责向甲方负责人汇报项目进度、提交工作成果。</w:t>
      </w:r>
    </w:p>
    <w:p w14:paraId="5B4A1F9C">
      <w:pPr>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4</w:t>
      </w:r>
      <w:r>
        <w:rPr>
          <w:rFonts w:hint="eastAsia" w:ascii="宋体" w:hAnsi="宋体" w:eastAsia="宋体" w:cs="Times New Roman"/>
          <w:sz w:val="24"/>
          <w:szCs w:val="24"/>
        </w:rPr>
        <w:t>、乙方不得将本合同约定的服务事项转包、分包给任何第三方实施，否则甲方有权单方面解除合同并不承担任何责任，乙方除应退还收取的款项后，还应按本合同约定承担违约责任。</w:t>
      </w:r>
    </w:p>
    <w:p w14:paraId="45AB9470">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6、乙方未经甲方同意违反上述本合同第五条第(二)项乙方权利义务的，则应及时改进并按甲方要求或由甲方按生产情况合理安排后，继续履行合同，由于乙方故意造成的违约，乙方应承担本合同总金额</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w:t>
      </w:r>
      <w:r>
        <w:rPr>
          <w:rFonts w:hint="eastAsia" w:ascii="宋体" w:hAnsi="宋体" w:eastAsia="宋体" w:cs="Times New Roman"/>
          <w:sz w:val="24"/>
          <w:szCs w:val="24"/>
        </w:rPr>
        <w:t>的违约金</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并赔偿甲方因此遭受的全部损失</w:t>
      </w:r>
      <w:r>
        <w:rPr>
          <w:rFonts w:hint="eastAsia" w:ascii="宋体" w:hAnsi="宋体" w:eastAsia="宋体" w:cs="Times New Roman"/>
          <w:sz w:val="24"/>
          <w:szCs w:val="24"/>
        </w:rPr>
        <w:t>。</w:t>
      </w:r>
    </w:p>
    <w:p w14:paraId="626A74B0">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7、乙方在维修服务过程中造成甲方设备损毁的，应当赔偿甲方由此而造成的损失。</w:t>
      </w:r>
    </w:p>
    <w:p w14:paraId="290B6246">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8、乙方及其工作人员应遵守和严格执行甲方规章制度和安保规定，不应因维保人员责任出现失窃或其他安全事故。甲方支付的费用中已包含安全措施费等相关费用，乙方维保人员给甲方或任何第三方造成人身或财产损失的，甲方有权要求乙方赔偿，甲方因此遭遇索赔的，有权向乙方追偿。</w:t>
      </w:r>
    </w:p>
    <w:p w14:paraId="6EB23181">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pacing w:val="0"/>
          <w:sz w:val="24"/>
          <w:szCs w:val="24"/>
          <w:lang w:val="en-US" w:eastAsia="zh-CN"/>
        </w:rPr>
        <w:t>9、</w:t>
      </w:r>
      <w:r>
        <w:rPr>
          <w:rFonts w:hint="eastAsia" w:ascii="宋体" w:hAnsi="宋体" w:eastAsia="宋体" w:cs="Times New Roman"/>
          <w:spacing w:val="0"/>
          <w:sz w:val="24"/>
          <w:szCs w:val="24"/>
        </w:rPr>
        <w:t>乙方应向甲方提供维护保养记录和本项目的维保资料</w:t>
      </w:r>
      <w:r>
        <w:rPr>
          <w:rFonts w:hint="eastAsia" w:ascii="宋体" w:hAnsi="宋体" w:eastAsia="宋体" w:cs="Times New Roman"/>
          <w:spacing w:val="0"/>
          <w:sz w:val="24"/>
          <w:szCs w:val="24"/>
          <w:lang w:eastAsia="zh-CN"/>
        </w:rPr>
        <w:t>，</w:t>
      </w:r>
      <w:r>
        <w:rPr>
          <w:rFonts w:hint="eastAsia" w:ascii="宋体" w:hAnsi="宋体" w:eastAsia="宋体" w:cs="Times New Roman"/>
          <w:spacing w:val="0"/>
          <w:sz w:val="24"/>
          <w:szCs w:val="24"/>
          <w:lang w:val="en-US" w:eastAsia="zh-CN"/>
        </w:rPr>
        <w:t>作为甲方向乙方结算合同款项的依据之一</w:t>
      </w:r>
      <w:r>
        <w:rPr>
          <w:rFonts w:hint="eastAsia" w:ascii="宋体" w:hAnsi="宋体" w:eastAsia="宋体" w:cs="Times New Roman"/>
          <w:spacing w:val="0"/>
          <w:sz w:val="24"/>
          <w:szCs w:val="24"/>
          <w:lang w:eastAsia="zh-CN"/>
        </w:rPr>
        <w:t>。</w:t>
      </w:r>
    </w:p>
    <w:p w14:paraId="34C5E535">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六、违约责任</w:t>
      </w:r>
    </w:p>
    <w:p w14:paraId="26F6EA90">
      <w:pPr>
        <w:spacing w:line="360" w:lineRule="auto"/>
        <w:ind w:firstLine="480"/>
        <w:rPr>
          <w:rFonts w:ascii="宋体" w:hAnsi="Courier New" w:eastAsia="宋体" w:cs="Times New Roman"/>
          <w:sz w:val="24"/>
          <w:szCs w:val="24"/>
        </w:rPr>
      </w:pPr>
      <w:r>
        <w:rPr>
          <w:rFonts w:hint="eastAsia" w:ascii="宋体" w:hAnsi="Courier New" w:eastAsia="宋体" w:cs="Times New Roman"/>
          <w:sz w:val="24"/>
          <w:szCs w:val="24"/>
        </w:rPr>
        <w:t>1、合同签订后，任何一方不得无故终止合同。如一方无法继续履行合同需终止履行并解除合同的，应</w:t>
      </w:r>
      <w:r>
        <w:rPr>
          <w:rFonts w:hint="eastAsia" w:ascii="宋体" w:hAnsi="Courier New" w:eastAsia="宋体" w:cs="Times New Roman"/>
          <w:sz w:val="24"/>
          <w:szCs w:val="24"/>
          <w:lang w:val="en-US" w:eastAsia="zh-CN"/>
        </w:rPr>
        <w:t>提前【】日</w:t>
      </w:r>
      <w:r>
        <w:rPr>
          <w:rFonts w:hint="eastAsia" w:ascii="宋体" w:hAnsi="Courier New" w:eastAsia="宋体" w:cs="Times New Roman"/>
          <w:sz w:val="24"/>
          <w:szCs w:val="24"/>
        </w:rPr>
        <w:t>通知另一方，因合同解除而造成的损失由责任方承担。</w:t>
      </w:r>
    </w:p>
    <w:p w14:paraId="699154A7">
      <w:pPr>
        <w:spacing w:line="360" w:lineRule="auto"/>
        <w:ind w:firstLine="480" w:firstLineChars="200"/>
        <w:rPr>
          <w:rFonts w:ascii="宋体" w:hAnsi="Courier New" w:eastAsia="宋体" w:cs="Times New Roman"/>
          <w:sz w:val="24"/>
          <w:szCs w:val="24"/>
        </w:rPr>
      </w:pPr>
      <w:r>
        <w:rPr>
          <w:rFonts w:hint="eastAsia" w:ascii="宋体" w:hAnsi="Courier New" w:eastAsia="宋体" w:cs="Times New Roman"/>
          <w:sz w:val="24"/>
          <w:szCs w:val="24"/>
        </w:rPr>
        <w:t>2、乙方应按招标文件所要求的相应时间及解决时限完成</w:t>
      </w:r>
      <w:r>
        <w:rPr>
          <w:rFonts w:hint="eastAsia" w:ascii="宋体" w:hAnsi="Courier New" w:eastAsia="宋体" w:cs="Times New Roman"/>
          <w:sz w:val="24"/>
          <w:szCs w:val="24"/>
          <w:lang w:val="en-US" w:eastAsia="zh-CN"/>
        </w:rPr>
        <w:t>服务</w:t>
      </w:r>
      <w:r>
        <w:rPr>
          <w:rFonts w:hint="eastAsia" w:ascii="宋体" w:hAnsi="Courier New" w:eastAsia="宋体" w:cs="Times New Roman"/>
          <w:sz w:val="24"/>
          <w:szCs w:val="24"/>
        </w:rPr>
        <w:t>内容，因乙方原因未在约定时限内响应或者完成</w:t>
      </w:r>
      <w:r>
        <w:rPr>
          <w:rFonts w:hint="eastAsia" w:ascii="宋体" w:hAnsi="Courier New" w:eastAsia="宋体" w:cs="Times New Roman"/>
          <w:sz w:val="24"/>
          <w:szCs w:val="24"/>
          <w:lang w:val="en-US" w:eastAsia="zh-CN"/>
        </w:rPr>
        <w:t>服务</w:t>
      </w:r>
      <w:r>
        <w:rPr>
          <w:rFonts w:hint="eastAsia" w:ascii="宋体" w:hAnsi="Courier New" w:eastAsia="宋体" w:cs="Times New Roman"/>
          <w:sz w:val="24"/>
          <w:szCs w:val="24"/>
          <w:lang w:eastAsia="zh-CN"/>
        </w:rPr>
        <w:t>、</w:t>
      </w:r>
      <w:r>
        <w:rPr>
          <w:rFonts w:hint="eastAsia" w:ascii="宋体" w:hAnsi="Courier New" w:eastAsia="宋体" w:cs="Times New Roman"/>
          <w:sz w:val="24"/>
          <w:szCs w:val="24"/>
        </w:rPr>
        <w:t>恢复维保内容的良好运行</w:t>
      </w:r>
      <w:r>
        <w:rPr>
          <w:rFonts w:hint="eastAsia" w:ascii="宋体" w:hAnsi="Courier New" w:eastAsia="宋体" w:cs="Times New Roman"/>
          <w:sz w:val="24"/>
          <w:szCs w:val="24"/>
          <w:lang w:val="en-US" w:eastAsia="zh-CN"/>
        </w:rPr>
        <w:t>并获得甲方认可</w:t>
      </w:r>
      <w:r>
        <w:rPr>
          <w:rFonts w:hint="eastAsia" w:ascii="宋体" w:hAnsi="Courier New" w:eastAsia="宋体" w:cs="Times New Roman"/>
          <w:sz w:val="24"/>
          <w:szCs w:val="24"/>
        </w:rPr>
        <w:t>，每延误1小时，由乙方按合同总价款的0.05%向甲方支付违约金，延误超过【】小时的视为乙方根本违约，甲方有权单方解除本协议，并要求乙方退还已支付的全部费用，并按合同总额的【】%向甲方支付违约金</w:t>
      </w:r>
      <w:r>
        <w:rPr>
          <w:rFonts w:hint="eastAsia" w:ascii="宋体" w:hAnsi="Courier New" w:eastAsia="宋体" w:cs="Times New Roman"/>
          <w:sz w:val="24"/>
          <w:szCs w:val="24"/>
          <w:lang w:eastAsia="zh-CN"/>
        </w:rPr>
        <w:t>，</w:t>
      </w:r>
      <w:r>
        <w:rPr>
          <w:rFonts w:hint="eastAsia" w:ascii="宋体" w:hAnsi="Courier New" w:eastAsia="宋体" w:cs="Times New Roman"/>
          <w:sz w:val="24"/>
          <w:szCs w:val="24"/>
        </w:rPr>
        <w:t>违约金不足以赔偿甲方损失的，由乙方另行承担。</w:t>
      </w:r>
    </w:p>
    <w:p w14:paraId="0769694E">
      <w:pPr>
        <w:spacing w:line="360" w:lineRule="auto"/>
        <w:ind w:firstLine="480" w:firstLineChars="200"/>
        <w:rPr>
          <w:rFonts w:ascii="宋体" w:hAnsi="Courier New" w:eastAsia="宋体" w:cs="Times New Roman"/>
          <w:sz w:val="24"/>
          <w:szCs w:val="24"/>
        </w:rPr>
      </w:pPr>
      <w:r>
        <w:rPr>
          <w:rFonts w:hint="eastAsia" w:ascii="宋体" w:hAnsi="Courier New" w:eastAsia="宋体" w:cs="Times New Roman"/>
          <w:sz w:val="24"/>
          <w:szCs w:val="24"/>
        </w:rPr>
        <w:t>3、</w:t>
      </w:r>
      <w:r>
        <w:rPr>
          <w:rFonts w:hint="eastAsia" w:ascii="宋体" w:hAnsi="Courier New" w:eastAsia="宋体" w:cs="Times New Roman"/>
          <w:sz w:val="24"/>
          <w:szCs w:val="24"/>
          <w:lang w:val="en-US" w:eastAsia="zh-CN"/>
        </w:rPr>
        <w:t>合同期内，</w:t>
      </w:r>
      <w:r>
        <w:rPr>
          <w:rFonts w:hint="eastAsia" w:ascii="宋体" w:hAnsi="Courier New" w:eastAsia="宋体" w:cs="Times New Roman"/>
          <w:sz w:val="24"/>
          <w:szCs w:val="24"/>
        </w:rPr>
        <w:t>甲方可书面通知乙方暂停原因并暂停合同履行</w:t>
      </w:r>
      <w:r>
        <w:rPr>
          <w:rFonts w:hint="eastAsia" w:ascii="宋体" w:hAnsi="Courier New" w:eastAsia="宋体" w:cs="Times New Roman"/>
          <w:sz w:val="24"/>
          <w:szCs w:val="24"/>
          <w:lang w:eastAsia="zh-CN"/>
        </w:rPr>
        <w:t>，</w:t>
      </w:r>
      <w:r>
        <w:rPr>
          <w:rFonts w:hint="eastAsia" w:ascii="宋体" w:hAnsi="Courier New" w:eastAsia="宋体" w:cs="Times New Roman"/>
          <w:sz w:val="24"/>
          <w:szCs w:val="24"/>
          <w:lang w:val="en-US" w:eastAsia="zh-CN"/>
        </w:rPr>
        <w:t>暂停期间乙方无需履行合同义务，甲方亦无需支付任何费用。合同暂停后若可恢复履行的，按甲方书面通知执行；若无法恢复履行，甲方可书面通知乙方终止本合同的履行，合同终止时间以甲方书面通知为准，双方据实结算费用，甲方不承担违约责任</w:t>
      </w:r>
      <w:r>
        <w:rPr>
          <w:rFonts w:hint="eastAsia" w:ascii="宋体" w:hAnsi="Courier New" w:eastAsia="宋体" w:cs="Times New Roman"/>
          <w:sz w:val="24"/>
          <w:szCs w:val="24"/>
        </w:rPr>
        <w:t>。</w:t>
      </w:r>
    </w:p>
    <w:p w14:paraId="71F9989E">
      <w:pPr>
        <w:spacing w:line="360" w:lineRule="auto"/>
        <w:ind w:firstLine="480" w:firstLineChars="200"/>
        <w:rPr>
          <w:rFonts w:hint="default" w:ascii="宋体" w:hAnsi="Courier New" w:eastAsia="宋体" w:cs="Times New Roman"/>
          <w:sz w:val="24"/>
          <w:szCs w:val="24"/>
          <w:lang w:val="en-US" w:eastAsia="zh-CN"/>
        </w:rPr>
      </w:pPr>
      <w:r>
        <w:rPr>
          <w:rFonts w:hint="eastAsia" w:ascii="宋体" w:hAnsi="Courier New" w:eastAsia="宋体" w:cs="Times New Roman"/>
          <w:sz w:val="24"/>
          <w:szCs w:val="24"/>
        </w:rPr>
        <w:t>4、若乙方存在3次未履行行为，给予警告，5次未按合同要求履约，处罚合同总金额5%，超过10次解除合同，解除合同书面通知书到达乙方之日视为合同已解除，甲方有权要求乙方退还已支付的全部费用，并按合同总价款【】%支付违约金，违约金不足以赔偿甲方损失的，由乙方另行承担。</w:t>
      </w:r>
    </w:p>
    <w:p w14:paraId="694A8CD9">
      <w:pPr>
        <w:pStyle w:val="2"/>
        <w:ind w:firstLine="480"/>
        <w:rPr>
          <w:rFonts w:hint="eastAsia" w:ascii="宋体" w:hAnsi="Courier New" w:eastAsia="宋体" w:cs="Times New Roman"/>
          <w:sz w:val="24"/>
          <w:szCs w:val="24"/>
          <w:lang w:val="en-US" w:eastAsia="zh-CN"/>
        </w:rPr>
      </w:pPr>
      <w:r>
        <w:rPr>
          <w:rFonts w:hint="eastAsia" w:ascii="宋体" w:hAnsi="Courier New" w:eastAsia="宋体" w:cs="Times New Roman"/>
          <w:sz w:val="24"/>
          <w:szCs w:val="24"/>
          <w:lang w:val="en-US" w:eastAsia="zh-CN"/>
        </w:rPr>
        <w:t>5.因乙方原因未能及时履行合同义务，导致医疗纠纷等造成甲方损失的，所有损失由乙方承担。</w:t>
      </w:r>
    </w:p>
    <w:p w14:paraId="6789CE94">
      <w:pPr>
        <w:ind w:firstLine="480"/>
        <w:rPr>
          <w:rFonts w:hint="eastAsia" w:eastAsia="宋体"/>
          <w:lang w:val="en-US" w:eastAsia="zh-CN"/>
        </w:rPr>
      </w:pPr>
      <w:r>
        <w:rPr>
          <w:rFonts w:hint="eastAsia" w:ascii="宋体" w:hAnsi="Courier New" w:eastAsia="宋体" w:cs="Times New Roman"/>
          <w:sz w:val="24"/>
          <w:szCs w:val="24"/>
          <w:lang w:val="en-US" w:eastAsia="zh-CN"/>
        </w:rPr>
        <w:t xml:space="preserve">    </w:t>
      </w:r>
    </w:p>
    <w:p w14:paraId="0F60E9F3">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七、保密</w:t>
      </w:r>
    </w:p>
    <w:p w14:paraId="13FBCF32">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一方及其工作人员应对技术服务合同签订、履行过程中了解到的涉及到另一方的保密信息承担保密责任，并采取相应的保密措施。双方应承担的保密义务包括但不限于：</w:t>
      </w:r>
    </w:p>
    <w:p w14:paraId="3E486251">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1、未经一方同意，另一方不得将上述保密信息批露给任何第三方；</w:t>
      </w:r>
    </w:p>
    <w:p w14:paraId="79F09D41">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2、不得将上述保密信息用于本合同以外的其他目的。</w:t>
      </w:r>
    </w:p>
    <w:p w14:paraId="1ECDD308">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、涉密人员范围</w:t>
      </w:r>
    </w:p>
    <w:p w14:paraId="59259CAB">
      <w:pPr>
        <w:tabs>
          <w:tab w:val="left" w:pos="840"/>
        </w:tabs>
        <w:kinsoku w:val="0"/>
        <w:spacing w:line="360" w:lineRule="auto"/>
        <w:ind w:firstLine="720" w:firstLineChars="300"/>
        <w:rPr>
          <w:rFonts w:hint="eastAsia"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.1甲方涉密人员范围：甲方参与配合测评工作的人员；</w:t>
      </w:r>
    </w:p>
    <w:p w14:paraId="12F81FE5">
      <w:pPr>
        <w:tabs>
          <w:tab w:val="left" w:pos="840"/>
        </w:tabs>
        <w:kinsoku w:val="0"/>
        <w:spacing w:line="360" w:lineRule="auto"/>
        <w:ind w:firstLine="720" w:firstLineChars="300"/>
        <w:rPr>
          <w:rFonts w:hint="eastAsia"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.2乙方涉密人员范围：乙方等级测评项目组人员。</w:t>
      </w:r>
    </w:p>
    <w:p w14:paraId="53EC4A83">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4</w:t>
      </w:r>
      <w:r>
        <w:rPr>
          <w:rFonts w:hint="eastAsia" w:ascii="宋体" w:hAnsi="宋体" w:eastAsia="宋体" w:cs="Times New Roman"/>
          <w:sz w:val="24"/>
          <w:szCs w:val="24"/>
        </w:rPr>
        <w:t>、上述保密义务永久有效，不因本合同、本测评项目的终止、中止而终止。</w:t>
      </w:r>
    </w:p>
    <w:p w14:paraId="2AF377E1">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八、不可抗力</w:t>
      </w:r>
    </w:p>
    <w:p w14:paraId="594AC8FB">
      <w:pPr>
        <w:spacing w:line="360" w:lineRule="auto"/>
        <w:ind w:firstLine="480" w:firstLineChars="200"/>
        <w:rPr>
          <w:rFonts w:hint="eastAsia" w:ascii="宋体" w:hAnsi="宋体" w:eastAsia="宋体" w:cs="Times New Roman"/>
          <w:b/>
          <w:sz w:val="24"/>
          <w:szCs w:val="24"/>
        </w:rPr>
      </w:pPr>
      <w:r>
        <w:rPr>
          <w:rFonts w:ascii="宋体" w:hAnsi="宋体" w:eastAsia="宋体" w:cs="Times New Roman"/>
          <w:sz w:val="24"/>
          <w:szCs w:val="24"/>
        </w:rPr>
        <w:t>1</w:t>
      </w:r>
      <w:r>
        <w:rPr>
          <w:rFonts w:hint="eastAsia" w:ascii="宋体" w:hAnsi="宋体" w:eastAsia="宋体" w:cs="Times New Roman"/>
          <w:sz w:val="24"/>
          <w:szCs w:val="24"/>
        </w:rPr>
        <w:t>、不可抗力指在本合同期限内发生的不可预见（或可预见，但其发生或后果不可避免）、非任何一方所能控制且使任何一方无法完全履行本合同的国家政策、法律、法规的限制、地震、台风、火灾、水灾、战争、罢工、暴动、黑客攻击或任何其它社会、政治动荡造成的灾难。</w:t>
      </w:r>
    </w:p>
    <w:p w14:paraId="250D21A6">
      <w:pPr>
        <w:tabs>
          <w:tab w:val="left" w:pos="840"/>
        </w:tabs>
        <w:kinsoku w:val="0"/>
        <w:spacing w:line="360" w:lineRule="auto"/>
        <w:ind w:firstLine="480" w:firstLineChars="200"/>
        <w:rPr>
          <w:rFonts w:hint="eastAsia" w:ascii="宋体" w:hAnsi="宋体"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如果出现不可抗力，双方在本合同中的义务在不可抗力影响范围及其持续期间内将中止履行。经另外一方确认的不可抗力影响时间，不计入本合同执行时间。本合同期限可根据中止的期限作相应延长，但须双方协商一致。任何一方均不会因此而承担责任。</w:t>
      </w:r>
    </w:p>
    <w:p w14:paraId="03D09654">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3、声称遭受不可抗力的一方应在不可抗力发生后不迟于 15日内通知另一方，并随附经有关部门确认的不可抗力书面证明，且应尽可能减少不可抗力所产生之影响。</w:t>
      </w:r>
    </w:p>
    <w:p w14:paraId="7423D0C1">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4、如发生不可抗力，双方应立即协商解决问题的方案。如果不可抗力持续 30 日以上，且致使合同无法继续履约的，经双方书面确认可解除本合同。</w:t>
      </w:r>
    </w:p>
    <w:p w14:paraId="1D0C7DD1">
      <w:pPr>
        <w:tabs>
          <w:tab w:val="left" w:pos="840"/>
        </w:tabs>
        <w:kinsoku w:val="0"/>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5、在发生不可抗力时，双方对各自控制下的设备、资料负有保管责任，对于未受不可抗力影响并且可以继续履行的合同义务应继续履行。</w:t>
      </w:r>
    </w:p>
    <w:p w14:paraId="03437E97">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九、争议解决</w:t>
      </w:r>
    </w:p>
    <w:p w14:paraId="4F5C1B28">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本合同有关的或因执行本合同所产生的一切争议,应通过友好协商解决。如果协商不能解决时, 可将争议提交甲方所在地人民法院诉讼进行解决。</w:t>
      </w:r>
    </w:p>
    <w:p w14:paraId="1B8A9F22">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十、其他</w:t>
      </w:r>
    </w:p>
    <w:p w14:paraId="30079E6A">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1、本合同末尽事宜，由双方协商处理。</w:t>
      </w:r>
    </w:p>
    <w:p w14:paraId="2F5511CA">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2、本合同正本</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份，具有同等法律效力，甲方</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份，乙方</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份。合同自双方签字或盖章之日起即时生效。</w:t>
      </w:r>
    </w:p>
    <w:p w14:paraId="6D983E95">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、招标文件、投标文件具有同等法律效力，招、投标文件为合同的组成部分。</w:t>
      </w:r>
    </w:p>
    <w:p w14:paraId="04A5CFEC">
      <w:pPr>
        <w:ind w:firstLine="420"/>
        <w:rPr>
          <w:rFonts w:ascii="宋体" w:hAnsi="Courier New" w:eastAsia="宋体" w:cs="Times New Roman"/>
          <w:szCs w:val="20"/>
        </w:rPr>
      </w:pPr>
    </w:p>
    <w:p w14:paraId="68263286">
      <w:pPr>
        <w:widowControl/>
        <w:spacing w:before="100" w:beforeAutospacing="1" w:after="100" w:afterAutospacing="1" w:line="480" w:lineRule="auto"/>
        <w:jc w:val="left"/>
        <w:rPr>
          <w:rFonts w:hint="eastAsia" w:ascii="宋体" w:hAnsi="宋体" w:eastAsia="宋体" w:cs="仿宋_GB2312"/>
          <w:sz w:val="24"/>
          <w:szCs w:val="32"/>
        </w:rPr>
      </w:pPr>
      <w:r>
        <w:rPr>
          <w:rFonts w:hint="eastAsia" w:ascii="宋体" w:hAnsi="宋体" w:eastAsia="宋体" w:cs="仿宋_GB2312"/>
          <w:sz w:val="24"/>
          <w:szCs w:val="32"/>
        </w:rPr>
        <w:t>甲  方（单位公章）                                   乙  方（单位公章）</w:t>
      </w:r>
    </w:p>
    <w:p w14:paraId="1C6D3BD0">
      <w:pPr>
        <w:tabs>
          <w:tab w:val="left" w:pos="480"/>
        </w:tabs>
        <w:spacing w:line="480" w:lineRule="auto"/>
        <w:ind w:left="4440" w:hanging="4440" w:hangingChars="1850"/>
        <w:rPr>
          <w:rFonts w:hint="eastAsia" w:ascii="宋体" w:hAnsi="宋体" w:eastAsia="宋体" w:cs="仿宋_GB2312"/>
          <w:sz w:val="24"/>
          <w:szCs w:val="32"/>
        </w:rPr>
      </w:pPr>
      <w:r>
        <w:rPr>
          <w:rFonts w:hint="eastAsia" w:ascii="宋体" w:hAnsi="宋体" w:eastAsia="宋体" w:cs="仿宋_GB2312"/>
          <w:sz w:val="24"/>
          <w:szCs w:val="32"/>
        </w:rPr>
        <w:t>单位名称：                                           单位名称：</w:t>
      </w:r>
    </w:p>
    <w:p w14:paraId="259C5B14">
      <w:pPr>
        <w:tabs>
          <w:tab w:val="left" w:pos="480"/>
        </w:tabs>
        <w:spacing w:line="480" w:lineRule="auto"/>
        <w:rPr>
          <w:rFonts w:hint="eastAsia" w:ascii="宋体" w:hAnsi="宋体" w:eastAsia="宋体" w:cs="仿宋_GB2312"/>
          <w:sz w:val="24"/>
          <w:szCs w:val="32"/>
        </w:rPr>
      </w:pPr>
      <w:r>
        <w:rPr>
          <w:rFonts w:hint="eastAsia" w:ascii="宋体" w:hAnsi="宋体" w:eastAsia="宋体" w:cs="仿宋_GB2312"/>
          <w:sz w:val="24"/>
          <w:szCs w:val="32"/>
        </w:rPr>
        <w:t>地  址：                                             地  址：</w:t>
      </w:r>
    </w:p>
    <w:p w14:paraId="7A5ED0CC">
      <w:pPr>
        <w:tabs>
          <w:tab w:val="left" w:pos="480"/>
        </w:tabs>
        <w:spacing w:line="480" w:lineRule="auto"/>
        <w:rPr>
          <w:rFonts w:hint="eastAsia" w:ascii="宋体" w:hAnsi="宋体" w:eastAsia="宋体" w:cs="仿宋_GB2312"/>
          <w:sz w:val="24"/>
          <w:szCs w:val="32"/>
        </w:rPr>
      </w:pPr>
      <w:r>
        <w:rPr>
          <w:rFonts w:hint="eastAsia" w:ascii="宋体" w:hAnsi="宋体" w:eastAsia="宋体" w:cs="仿宋_GB2312"/>
          <w:sz w:val="24"/>
          <w:szCs w:val="32"/>
        </w:rPr>
        <w:t>法定代表人：                                         法定代表人：</w:t>
      </w:r>
    </w:p>
    <w:p w14:paraId="227D2DB4">
      <w:pPr>
        <w:widowControl/>
        <w:autoSpaceDE w:val="0"/>
        <w:autoSpaceDN w:val="0"/>
        <w:snapToGrid w:val="0"/>
        <w:spacing w:line="480" w:lineRule="auto"/>
        <w:ind w:right="-154"/>
        <w:textAlignment w:val="bottom"/>
        <w:rPr>
          <w:rFonts w:hint="eastAsia" w:ascii="宋体" w:hAnsi="宋体" w:eastAsia="宋体" w:cs="仿宋_GB2312"/>
          <w:sz w:val="24"/>
          <w:szCs w:val="32"/>
        </w:rPr>
      </w:pPr>
      <w:r>
        <w:rPr>
          <w:rFonts w:hint="eastAsia" w:ascii="宋体" w:hAnsi="宋体" w:eastAsia="宋体" w:cs="仿宋_GB2312"/>
          <w:sz w:val="24"/>
          <w:szCs w:val="32"/>
        </w:rPr>
        <w:t>联系电话：                                           联系电话：</w:t>
      </w:r>
    </w:p>
    <w:p w14:paraId="374F1527">
      <w:pPr>
        <w:widowControl/>
        <w:autoSpaceDE w:val="0"/>
        <w:autoSpaceDN w:val="0"/>
        <w:snapToGrid w:val="0"/>
        <w:spacing w:line="480" w:lineRule="auto"/>
        <w:ind w:right="-154"/>
        <w:textAlignment w:val="bottom"/>
        <w:rPr>
          <w:rFonts w:hint="eastAsia" w:ascii="宋体" w:hAnsi="宋体" w:eastAsia="宋体" w:cs="仿宋_GB2312"/>
          <w:sz w:val="24"/>
          <w:szCs w:val="32"/>
        </w:rPr>
      </w:pPr>
      <w:r>
        <w:rPr>
          <w:rFonts w:hint="eastAsia" w:ascii="宋体" w:hAnsi="宋体" w:eastAsia="宋体" w:cs="仿宋_GB2312"/>
          <w:sz w:val="24"/>
          <w:szCs w:val="32"/>
        </w:rPr>
        <w:t>账号：                                               帐    号：</w:t>
      </w:r>
    </w:p>
    <w:p w14:paraId="6FEB4CEF">
      <w:pPr>
        <w:widowControl/>
        <w:autoSpaceDE w:val="0"/>
        <w:autoSpaceDN w:val="0"/>
        <w:snapToGrid w:val="0"/>
        <w:spacing w:line="480" w:lineRule="auto"/>
        <w:ind w:right="-154"/>
        <w:textAlignment w:val="bottom"/>
        <w:rPr>
          <w:rFonts w:hint="eastAsia" w:ascii="宋体" w:hAnsi="宋体" w:eastAsia="宋体" w:cs="仿宋_GB2312"/>
          <w:sz w:val="24"/>
          <w:szCs w:val="32"/>
        </w:rPr>
      </w:pPr>
      <w:r>
        <w:rPr>
          <w:rFonts w:hint="eastAsia" w:ascii="宋体" w:hAnsi="宋体" w:eastAsia="宋体" w:cs="仿宋_GB2312"/>
          <w:sz w:val="24"/>
          <w:szCs w:val="32"/>
        </w:rPr>
        <w:t>开户银行：                                           开户银行：</w:t>
      </w:r>
    </w:p>
    <w:p w14:paraId="30F36FE0">
      <w:pPr>
        <w:tabs>
          <w:tab w:val="left" w:pos="480"/>
        </w:tabs>
        <w:spacing w:line="360" w:lineRule="exact"/>
        <w:rPr>
          <w:rFonts w:hint="eastAsia" w:ascii="宋体" w:hAnsi="宋体" w:eastAsia="宋体" w:cs="仿宋_GB2312"/>
          <w:sz w:val="24"/>
          <w:szCs w:val="32"/>
        </w:rPr>
      </w:pPr>
      <w:r>
        <w:rPr>
          <w:rFonts w:hint="eastAsia" w:ascii="宋体" w:hAnsi="宋体" w:eastAsia="宋体" w:cs="仿宋_GB2312"/>
          <w:sz w:val="24"/>
          <w:szCs w:val="32"/>
        </w:rPr>
        <w:t>签订日期：   年  月  日                              签订日期：年 月 日</w:t>
      </w:r>
    </w:p>
    <w:p w14:paraId="0617B261">
      <w:pPr>
        <w:widowControl/>
        <w:overflowPunct w:val="0"/>
        <w:autoSpaceDE w:val="0"/>
        <w:autoSpaceDN w:val="0"/>
        <w:adjustRightInd w:val="0"/>
        <w:jc w:val="left"/>
        <w:textAlignment w:val="baseline"/>
        <w:rPr>
          <w:rFonts w:ascii="宋体" w:hAnsi="Courier New" w:eastAsia="宋体" w:cs="Times New Roman"/>
          <w:kern w:val="0"/>
          <w:szCs w:val="20"/>
        </w:rPr>
      </w:pPr>
    </w:p>
    <w:p w14:paraId="63C965C8">
      <w:pPr>
        <w:rPr>
          <w:rFonts w:hint="eastAsia"/>
        </w:rPr>
      </w:pPr>
    </w:p>
    <w:p w14:paraId="36714CA1">
      <w:pPr>
        <w:keepNext w:val="0"/>
        <w:keepLines w:val="0"/>
        <w:widowControl w:val="0"/>
        <w:suppressLineNumbers w:val="0"/>
        <w:spacing w:before="0" w:beforeAutospacing="0" w:after="0" w:afterAutospacing="0"/>
        <w:ind w:left="0" w:right="0"/>
        <w:jc w:val="both"/>
        <w:rPr>
          <w:rFonts w:hint="eastAsia" w:ascii="黑体" w:hAnsi="宋体" w:eastAsia="黑体" w:cs="Times New Roman"/>
          <w:kern w:val="2"/>
          <w:sz w:val="28"/>
          <w:szCs w:val="28"/>
        </w:rPr>
      </w:pPr>
    </w:p>
    <w:p w14:paraId="567BA7B7">
      <w:pPr>
        <w:jc w:val="center"/>
        <w:rPr>
          <w:rFonts w:hint="eastAsia" w:ascii="宋体" w:hAnsi="宋体" w:cs="宋体"/>
          <w:b/>
          <w:spacing w:val="-20"/>
          <w:sz w:val="58"/>
          <w:szCs w:val="58"/>
        </w:rPr>
      </w:pPr>
    </w:p>
    <w:p w14:paraId="7B284CDB">
      <w:pPr>
        <w:tabs>
          <w:tab w:val="left" w:pos="480"/>
        </w:tabs>
        <w:ind w:firstLine="420" w:firstLineChars="200"/>
        <w:rPr>
          <w:rFonts w:hint="eastAsia" w:ascii="宋体" w:hAnsi="宋体"/>
          <w:szCs w:val="21"/>
        </w:rPr>
      </w:pPr>
    </w:p>
    <w:p w14:paraId="206307C7">
      <w:pPr>
        <w:numPr>
          <w:ilvl w:val="0"/>
          <w:numId w:val="0"/>
        </w:numPr>
        <w:spacing w:line="360" w:lineRule="auto"/>
        <w:rPr>
          <w:rFonts w:hint="eastAsia" w:ascii="宋体" w:hAnsi="宋体" w:eastAsia="宋体" w:cs="宋体"/>
          <w:sz w:val="24"/>
          <w:szCs w:val="24"/>
        </w:rPr>
      </w:pPr>
    </w:p>
    <w:p w14:paraId="0AB85F4C">
      <w:pPr>
        <w:spacing w:line="360" w:lineRule="auto"/>
        <w:ind w:right="1" w:firstLine="480" w:firstLineChars="200"/>
        <w:jc w:val="both"/>
        <w:rPr>
          <w:rFonts w:hint="eastAsia" w:ascii="宋体" w:hAnsi="宋体" w:eastAsia="宋体" w:cs="宋体"/>
          <w:snapToGrid/>
          <w:color w:val="auto"/>
          <w:kern w:val="2"/>
          <w:sz w:val="24"/>
          <w:szCs w:val="24"/>
          <w:lang w:eastAsia="zh-CN"/>
        </w:rPr>
      </w:pPr>
    </w:p>
    <w:p w14:paraId="0D792C07"/>
    <w:sectPr>
      <w:footerReference r:id="rId5" w:type="default"/>
      <w:pgSz w:w="11900" w:h="16840"/>
      <w:pgMar w:top="1440" w:right="1800" w:bottom="1440" w:left="180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02195">
    <w:pPr>
      <w:pStyle w:val="2"/>
      <w:spacing w:line="240"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087DBC">
                          <w:pPr>
                            <w:pStyle w:val="3"/>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82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C087DBC">
                    <w:pPr>
                      <w:pStyle w:val="3"/>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82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A4767"/>
    <w:multiLevelType w:val="singleLevel"/>
    <w:tmpl w:val="B0AA476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206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2025-09-23T10:13:16Z</dcterms:created>
  <dc:creator>Administrator</dc:creator>
  <cp:lastModifiedBy>泽元不迷糊</cp:lastModifiedBy>
  <dcterms:modified xsi:type="dcterms:W3CDTF">2025-09-23T10:13:32Z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5B7BF67D6ABD4CD5B699358AB1087D65_12</vt:lpwstr>
  </property>
</Properties>
</file>